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IMMEDIATE RELEASE                                         </w:t>
        <w:tab/>
        <w:t xml:space="preserve">Contact: Sara Lapointe</w:t>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sara.lapointe@mahouse.gov</w:t>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State Rep. Fiola Secures Vehicle for Project Reconnect Visits</w:t>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Fall River, MA (July 13, 2018</w:t>
      </w:r>
      <w:r w:rsidDel="00000000" w:rsidR="00000000" w:rsidRPr="00000000">
        <w:rPr>
          <w:rFonts w:ascii="Times New Roman" w:cs="Times New Roman" w:eastAsia="Times New Roman" w:hAnsi="Times New Roman"/>
          <w:sz w:val="24"/>
          <w:szCs w:val="24"/>
          <w:rtl w:val="0"/>
        </w:rPr>
        <w:t xml:space="preserve">)- State Representative Carole Fiola joined members of Project Reconnect for an update on the program and to acknowledge the new vehicle volunteers will utilize during their weekly visits. Fiola filed and received an earmark in the Fiscal Year 2018 state budget for the Fall River Police Department to receive $50,000 for the public safety opioid overdose follow-up program in the City of Fall River,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Project Reconnect. </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this idea was brought up in discussion, I was delighted to assist this wonderful group in obtaining a vehicle for their weekly visits to the residences of overdose victims and families” said Fiola. “We have amazing and dedicated volunteers that are committed to getting individuals and families the treatment and support services they need. I hope this vehicle serves as an asset to their duties and continue to increase their success. ”</w:t>
      </w:r>
    </w:p>
    <w:p w:rsidR="00000000" w:rsidDel="00000000" w:rsidP="00000000" w:rsidRDefault="00000000" w:rsidRPr="00000000" w14:paraId="00000008">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Reconnect seeks to engage citizens, community organization, and local government to collaboratively provide outreach and support to those directly impacted by the opioid epidemic; post overdose survivors and their loved ones.  Project Reconnects’ Recovery Connection team visits the homes of those at highest risk among us, after suffering an overdose.  The team provides direct referral to treatment and support services, and offers harm reduction strategies. Each outreach team consists of a police officer, recovery support coach, and a harm reduction specialist.</w:t>
      </w:r>
    </w:p>
    <w:p w:rsidR="00000000" w:rsidDel="00000000" w:rsidP="00000000" w:rsidRDefault="00000000" w:rsidRPr="00000000" w14:paraId="0000000A">
      <w:pPr>
        <w:contextualSpacing w:val="0"/>
        <w:jc w:val="center"/>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276" w:lineRule="auto"/>
      <w:contextualSpacing w:val="0"/>
      <w:jc w:val="center"/>
      <w:rPr>
        <w:rFonts w:ascii="Times New Roman" w:cs="Times New Roman" w:eastAsia="Times New Roman" w:hAnsi="Times New Roman"/>
        <w:i w:val="1"/>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Representative Fiola can be contacted by phone at 617-722-2430, via the Web at www.electcarole.com, or on Facebook at www.facebook.com/electcarole.</w:t>
    </w:r>
  </w:p>
  <w:p w:rsidR="00000000" w:rsidDel="00000000" w:rsidP="00000000" w:rsidRDefault="00000000" w:rsidRPr="00000000" w14:paraId="0000001A">
    <w:pPr>
      <w:spacing w:after="200" w:line="276" w:lineRule="auto"/>
      <w:contextualSpacing w:val="0"/>
      <w:jc w:val="center"/>
      <w:rPr>
        <w:i w:val="1"/>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spacing w:after="200" w:line="276" w:lineRule="auto"/>
      <w:contextualSpacing w:val="0"/>
      <w:jc w:val="center"/>
      <w:rPr>
        <w:rFonts w:ascii="Georgia" w:cs="Georgia" w:eastAsia="Georgia" w:hAnsi="Georgia"/>
        <w:color w:val="002060"/>
        <w:sz w:val="36"/>
        <w:szCs w:val="36"/>
      </w:rPr>
    </w:pPr>
    <w:r w:rsidDel="00000000" w:rsidR="00000000" w:rsidRPr="00000000">
      <w:rPr>
        <w:rFonts w:ascii="Georgia" w:cs="Georgia" w:eastAsia="Georgia" w:hAnsi="Georgia"/>
        <w:color w:val="002060"/>
        <w:sz w:val="36"/>
        <w:szCs w:val="36"/>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133350</wp:posOffset>
          </wp:positionH>
          <wp:positionV relativeFrom="paragraph">
            <wp:posOffset>0</wp:posOffset>
          </wp:positionV>
          <wp:extent cx="790575" cy="981075"/>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90575" cy="9810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133350</wp:posOffset>
          </wp:positionH>
          <wp:positionV relativeFrom="paragraph">
            <wp:posOffset>0</wp:posOffset>
          </wp:positionV>
          <wp:extent cx="790575" cy="981075"/>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790575" cy="981075"/>
                  </a:xfrm>
                  <a:prstGeom prst="rect"/>
                  <a:ln/>
                </pic:spPr>
              </pic:pic>
            </a:graphicData>
          </a:graphic>
        </wp:anchor>
      </w:drawing>
    </w:r>
  </w:p>
  <w:p w:rsidR="00000000" w:rsidDel="00000000" w:rsidP="00000000" w:rsidRDefault="00000000" w:rsidRPr="00000000" w14:paraId="0000000C">
    <w:pPr>
      <w:spacing w:after="200" w:line="276" w:lineRule="auto"/>
      <w:contextualSpacing w:val="0"/>
      <w:jc w:val="center"/>
      <w:rPr>
        <w:rFonts w:ascii="Georgia" w:cs="Georgia" w:eastAsia="Georgia" w:hAnsi="Georgia"/>
        <w:color w:val="002060"/>
        <w:sz w:val="36"/>
        <w:szCs w:val="36"/>
      </w:rPr>
    </w:pPr>
    <w:r w:rsidDel="00000000" w:rsidR="00000000" w:rsidRPr="00000000">
      <w:rPr>
        <w:rFonts w:ascii="Georgia" w:cs="Georgia" w:eastAsia="Georgia" w:hAnsi="Georgia"/>
        <w:color w:val="002060"/>
        <w:sz w:val="36"/>
        <w:szCs w:val="36"/>
        <w:rtl w:val="0"/>
      </w:rPr>
      <w:t xml:space="preserve">The Commonwealth of Massachusetts</w:t>
    </w:r>
  </w:p>
  <w:p w:rsidR="00000000" w:rsidDel="00000000" w:rsidP="00000000" w:rsidRDefault="00000000" w:rsidRPr="00000000" w14:paraId="0000000D">
    <w:pPr>
      <w:spacing w:line="276" w:lineRule="auto"/>
      <w:ind w:firstLine="720"/>
      <w:contextualSpacing w:val="0"/>
      <w:jc w:val="center"/>
      <w:rPr>
        <w:rFonts w:ascii="Georgia" w:cs="Georgia" w:eastAsia="Georgia" w:hAnsi="Georgia"/>
        <w:b w:val="1"/>
        <w:color w:val="002060"/>
        <w:sz w:val="18"/>
        <w:szCs w:val="18"/>
      </w:rPr>
    </w:pPr>
    <w:r w:rsidDel="00000000" w:rsidR="00000000" w:rsidRPr="00000000">
      <w:rPr>
        <w:rFonts w:ascii="Georgia" w:cs="Georgia" w:eastAsia="Georgia" w:hAnsi="Georgia"/>
        <w:b w:val="1"/>
        <w:color w:val="002060"/>
        <w:sz w:val="18"/>
        <w:szCs w:val="18"/>
        <w:rtl w:val="0"/>
      </w:rPr>
      <w:t xml:space="preserve">HOUSE OF REPRESENTATIVES</w:t>
    </w:r>
  </w:p>
  <w:p w:rsidR="00000000" w:rsidDel="00000000" w:rsidP="00000000" w:rsidRDefault="00000000" w:rsidRPr="00000000" w14:paraId="0000000E">
    <w:pPr>
      <w:spacing w:line="276" w:lineRule="auto"/>
      <w:ind w:firstLine="720"/>
      <w:contextualSpacing w:val="0"/>
      <w:jc w:val="center"/>
      <w:rPr>
        <w:rFonts w:ascii="Georgia" w:cs="Georgia" w:eastAsia="Georgia" w:hAnsi="Georgia"/>
        <w:b w:val="1"/>
        <w:color w:val="002060"/>
        <w:sz w:val="18"/>
        <w:szCs w:val="18"/>
      </w:rPr>
    </w:pPr>
    <w:r w:rsidDel="00000000" w:rsidR="00000000" w:rsidRPr="00000000">
      <w:rPr>
        <w:rFonts w:ascii="Georgia" w:cs="Georgia" w:eastAsia="Georgia" w:hAnsi="Georgia"/>
        <w:b w:val="1"/>
        <w:color w:val="002060"/>
        <w:sz w:val="18"/>
        <w:szCs w:val="18"/>
        <w:rtl w:val="0"/>
      </w:rPr>
      <w:t xml:space="preserve">STATE HOUSE, BOSTON 02133-1054</w:t>
    </w:r>
  </w:p>
  <w:p w:rsidR="00000000" w:rsidDel="00000000" w:rsidP="00000000" w:rsidRDefault="00000000" w:rsidRPr="00000000" w14:paraId="0000000F">
    <w:pPr>
      <w:spacing w:line="276" w:lineRule="auto"/>
      <w:contextualSpacing w:val="0"/>
      <w:jc w:val="center"/>
      <w:rPr>
        <w:rFonts w:ascii="Georgia" w:cs="Georgia" w:eastAsia="Georgia" w:hAnsi="Georgia"/>
        <w:color w:val="002060"/>
        <w:sz w:val="18"/>
        <w:szCs w:val="18"/>
      </w:rPr>
    </w:pPr>
    <w:r w:rsidDel="00000000" w:rsidR="00000000" w:rsidRPr="00000000">
      <w:rPr>
        <w:rtl w:val="0"/>
      </w:rPr>
    </w:r>
  </w:p>
  <w:p w:rsidR="00000000" w:rsidDel="00000000" w:rsidP="00000000" w:rsidRDefault="00000000" w:rsidRPr="00000000" w14:paraId="00000010">
    <w:pPr>
      <w:spacing w:line="276" w:lineRule="auto"/>
      <w:contextualSpacing w:val="0"/>
      <w:jc w:val="center"/>
      <w:rPr>
        <w:rFonts w:ascii="Georgia" w:cs="Georgia" w:eastAsia="Georgia" w:hAnsi="Georgia"/>
        <w:color w:val="002060"/>
        <w:sz w:val="18"/>
        <w:szCs w:val="18"/>
      </w:rPr>
    </w:pPr>
    <w:r w:rsidDel="00000000" w:rsidR="00000000" w:rsidRPr="00000000">
      <w:rPr>
        <w:rtl w:val="0"/>
      </w:rPr>
    </w:r>
  </w:p>
  <w:p w:rsidR="00000000" w:rsidDel="00000000" w:rsidP="00000000" w:rsidRDefault="00000000" w:rsidRPr="00000000" w14:paraId="00000011">
    <w:pPr>
      <w:spacing w:line="240" w:lineRule="auto"/>
      <w:contextualSpacing w:val="0"/>
      <w:rPr>
        <w:rFonts w:ascii="Georgia" w:cs="Georgia" w:eastAsia="Georgia" w:hAnsi="Georgia"/>
        <w:b w:val="1"/>
        <w:color w:val="002060"/>
        <w:sz w:val="16"/>
        <w:szCs w:val="16"/>
      </w:rPr>
    </w:pPr>
    <w:r w:rsidDel="00000000" w:rsidR="00000000" w:rsidRPr="00000000">
      <w:rPr>
        <w:rFonts w:ascii="Georgia" w:cs="Georgia" w:eastAsia="Georgia" w:hAnsi="Georgia"/>
        <w:b w:val="1"/>
        <w:color w:val="002060"/>
        <w:sz w:val="16"/>
        <w:szCs w:val="16"/>
        <w:rtl w:val="0"/>
      </w:rPr>
      <w:t xml:space="preserve">CAROLE A. FIOLA</w:t>
      <w:tab/>
      <w:tab/>
      <w:tab/>
      <w:tab/>
      <w:tab/>
      <w:tab/>
      <w:tab/>
      <w:t xml:space="preserve">          </w:t>
      <w:tab/>
      <w:tab/>
      <w:t xml:space="preserve">Vice Chair</w:t>
    </w:r>
  </w:p>
  <w:p w:rsidR="00000000" w:rsidDel="00000000" w:rsidP="00000000" w:rsidRDefault="00000000" w:rsidRPr="00000000" w14:paraId="00000012">
    <w:pPr>
      <w:spacing w:line="240" w:lineRule="auto"/>
      <w:contextualSpacing w:val="0"/>
      <w:rPr>
        <w:rFonts w:ascii="Georgia" w:cs="Georgia" w:eastAsia="Georgia" w:hAnsi="Georgia"/>
        <w:color w:val="002060"/>
        <w:sz w:val="16"/>
        <w:szCs w:val="16"/>
      </w:rPr>
    </w:pPr>
    <w:r w:rsidDel="00000000" w:rsidR="00000000" w:rsidRPr="00000000">
      <w:rPr>
        <w:rFonts w:ascii="Georgia" w:cs="Georgia" w:eastAsia="Georgia" w:hAnsi="Georgia"/>
        <w:b w:val="1"/>
        <w:color w:val="002060"/>
        <w:sz w:val="16"/>
        <w:szCs w:val="16"/>
        <w:rtl w:val="0"/>
      </w:rPr>
      <w:t xml:space="preserve">STATE REPRESENTATIVE</w:t>
      <w:tab/>
      <w:tab/>
      <w:tab/>
      <w:tab/>
      <w:tab/>
      <w:t xml:space="preserve">            </w:t>
      <w:tab/>
      <w:tab/>
      <w:t xml:space="preserve">      </w:t>
    </w:r>
    <w:r w:rsidDel="00000000" w:rsidR="00000000" w:rsidRPr="00000000">
      <w:rPr>
        <w:rFonts w:ascii="Georgia" w:cs="Georgia" w:eastAsia="Georgia" w:hAnsi="Georgia"/>
        <w:color w:val="002060"/>
        <w:sz w:val="16"/>
        <w:szCs w:val="16"/>
        <w:rtl w:val="0"/>
      </w:rPr>
      <w:t xml:space="preserve">Bills in the Third Reading</w:t>
    </w:r>
  </w:p>
  <w:p w:rsidR="00000000" w:rsidDel="00000000" w:rsidP="00000000" w:rsidRDefault="00000000" w:rsidRPr="00000000" w14:paraId="00000013">
    <w:pPr>
      <w:spacing w:line="240" w:lineRule="auto"/>
      <w:contextualSpacing w:val="0"/>
      <w:rPr>
        <w:rFonts w:ascii="Georgia" w:cs="Georgia" w:eastAsia="Georgia" w:hAnsi="Georgia"/>
        <w:color w:val="002060"/>
        <w:sz w:val="16"/>
        <w:szCs w:val="16"/>
      </w:rPr>
    </w:pPr>
    <w:r w:rsidDel="00000000" w:rsidR="00000000" w:rsidRPr="00000000">
      <w:rPr>
        <w:rFonts w:ascii="Georgia" w:cs="Georgia" w:eastAsia="Georgia" w:hAnsi="Georgia"/>
        <w:color w:val="002060"/>
        <w:sz w:val="16"/>
        <w:szCs w:val="16"/>
        <w:rtl w:val="0"/>
      </w:rPr>
      <w:t xml:space="preserve">6</w:t>
    </w:r>
    <w:r w:rsidDel="00000000" w:rsidR="00000000" w:rsidRPr="00000000">
      <w:rPr>
        <w:rFonts w:ascii="Georgia" w:cs="Georgia" w:eastAsia="Georgia" w:hAnsi="Georgia"/>
        <w:color w:val="002060"/>
        <w:sz w:val="16"/>
        <w:szCs w:val="16"/>
        <w:vertAlign w:val="superscript"/>
        <w:rtl w:val="0"/>
      </w:rPr>
      <w:t xml:space="preserve">th</w:t>
    </w:r>
    <w:r w:rsidDel="00000000" w:rsidR="00000000" w:rsidRPr="00000000">
      <w:rPr>
        <w:rFonts w:ascii="Georgia" w:cs="Georgia" w:eastAsia="Georgia" w:hAnsi="Georgia"/>
        <w:color w:val="002060"/>
        <w:sz w:val="16"/>
        <w:szCs w:val="16"/>
        <w:rtl w:val="0"/>
      </w:rPr>
      <w:t xml:space="preserve"> Bristol District</w:t>
      <w:tab/>
      <w:tab/>
      <w:tab/>
      <w:tab/>
      <w:tab/>
      <w:tab/>
      <w:tab/>
      <w:tab/>
      <w:t xml:space="preserve">         </w:t>
      <w:tab/>
      <w:tab/>
      <w:t xml:space="preserve">__________</w:t>
      <w:tab/>
    </w:r>
  </w:p>
  <w:p w:rsidR="00000000" w:rsidDel="00000000" w:rsidP="00000000" w:rsidRDefault="00000000" w:rsidRPr="00000000" w14:paraId="00000014">
    <w:pPr>
      <w:spacing w:line="240" w:lineRule="auto"/>
      <w:contextualSpacing w:val="0"/>
      <w:rPr>
        <w:rFonts w:ascii="Georgia" w:cs="Georgia" w:eastAsia="Georgia" w:hAnsi="Georgia"/>
        <w:color w:val="002060"/>
        <w:sz w:val="16"/>
        <w:szCs w:val="16"/>
      </w:rPr>
    </w:pPr>
    <w:r w:rsidDel="00000000" w:rsidR="00000000" w:rsidRPr="00000000">
      <w:rPr>
        <w:rtl w:val="0"/>
      </w:rPr>
    </w:r>
  </w:p>
  <w:p w:rsidR="00000000" w:rsidDel="00000000" w:rsidP="00000000" w:rsidRDefault="00000000" w:rsidRPr="00000000" w14:paraId="00000015">
    <w:pPr>
      <w:spacing w:line="240" w:lineRule="auto"/>
      <w:contextualSpacing w:val="0"/>
      <w:rPr>
        <w:rFonts w:ascii="Georgia" w:cs="Georgia" w:eastAsia="Georgia" w:hAnsi="Georgia"/>
        <w:b w:val="1"/>
        <w:color w:val="002060"/>
        <w:sz w:val="16"/>
        <w:szCs w:val="16"/>
      </w:rPr>
    </w:pPr>
    <w:r w:rsidDel="00000000" w:rsidR="00000000" w:rsidRPr="00000000">
      <w:rPr>
        <w:rFonts w:ascii="Georgia" w:cs="Georgia" w:eastAsia="Georgia" w:hAnsi="Georgia"/>
        <w:color w:val="002060"/>
        <w:sz w:val="16"/>
        <w:szCs w:val="16"/>
        <w:rtl w:val="0"/>
      </w:rPr>
      <w:t xml:space="preserve">STATE HOUSE, ROOM 236</w:t>
      <w:tab/>
      <w:tab/>
      <w:tab/>
      <w:tab/>
      <w:tab/>
      <w:tab/>
      <w:t xml:space="preserve">         </w:t>
      <w:tab/>
      <w:t xml:space="preserve">          </w:t>
      <w:tab/>
      <w:t xml:space="preserve">                 </w:t>
    </w:r>
    <w:r w:rsidDel="00000000" w:rsidR="00000000" w:rsidRPr="00000000">
      <w:rPr>
        <w:rFonts w:ascii="Georgia" w:cs="Georgia" w:eastAsia="Georgia" w:hAnsi="Georgia"/>
        <w:b w:val="1"/>
        <w:color w:val="002060"/>
        <w:sz w:val="16"/>
        <w:szCs w:val="16"/>
        <w:rtl w:val="0"/>
      </w:rPr>
      <w:t xml:space="preserve">Committees:</w:t>
    </w:r>
  </w:p>
  <w:p w:rsidR="00000000" w:rsidDel="00000000" w:rsidP="00000000" w:rsidRDefault="00000000" w:rsidRPr="00000000" w14:paraId="00000016">
    <w:pPr>
      <w:spacing w:line="240" w:lineRule="auto"/>
      <w:contextualSpacing w:val="0"/>
      <w:rPr>
        <w:rFonts w:ascii="Georgia" w:cs="Georgia" w:eastAsia="Georgia" w:hAnsi="Georgia"/>
        <w:color w:val="002060"/>
        <w:sz w:val="16"/>
        <w:szCs w:val="16"/>
      </w:rPr>
    </w:pPr>
    <w:r w:rsidDel="00000000" w:rsidR="00000000" w:rsidRPr="00000000">
      <w:rPr>
        <w:rFonts w:ascii="Georgia" w:cs="Georgia" w:eastAsia="Georgia" w:hAnsi="Georgia"/>
        <w:color w:val="002060"/>
        <w:sz w:val="16"/>
        <w:szCs w:val="16"/>
        <w:rtl w:val="0"/>
      </w:rPr>
      <w:t xml:space="preserve">TEL: (617) 722-2430</w:t>
      <w:tab/>
      <w:tab/>
      <w:tab/>
      <w:tab/>
      <w:tab/>
      <w:tab/>
      <w:tab/>
      <w:t xml:space="preserve">                                 Ways and Means</w:t>
    </w:r>
  </w:p>
  <w:p w:rsidR="00000000" w:rsidDel="00000000" w:rsidP="00000000" w:rsidRDefault="00000000" w:rsidRPr="00000000" w14:paraId="00000017">
    <w:pPr>
      <w:spacing w:line="240" w:lineRule="auto"/>
      <w:contextualSpacing w:val="0"/>
      <w:rPr>
        <w:rFonts w:ascii="Georgia" w:cs="Georgia" w:eastAsia="Georgia" w:hAnsi="Georgia"/>
        <w:color w:val="002060"/>
        <w:sz w:val="16"/>
        <w:szCs w:val="16"/>
      </w:rPr>
    </w:pPr>
    <w:r w:rsidDel="00000000" w:rsidR="00000000" w:rsidRPr="00000000">
      <w:rPr>
        <w:rFonts w:ascii="Georgia" w:cs="Georgia" w:eastAsia="Georgia" w:hAnsi="Georgia"/>
        <w:color w:val="002060"/>
        <w:sz w:val="16"/>
        <w:szCs w:val="16"/>
        <w:rtl w:val="0"/>
      </w:rPr>
      <w:t xml:space="preserve">Carole.Fiola@MAhouse.gov</w:t>
      <w:tab/>
      <w:tab/>
      <w:tab/>
      <w:tab/>
      <w:tab/>
      <w:tab/>
      <w:t xml:space="preserve">                                                          Judiciary</w:t>
    </w:r>
  </w:p>
  <w:p w:rsidR="00000000" w:rsidDel="00000000" w:rsidP="00000000" w:rsidRDefault="00000000" w:rsidRPr="00000000" w14:paraId="00000018">
    <w:pPr>
      <w:spacing w:line="240" w:lineRule="auto"/>
      <w:ind w:left="6480" w:firstLine="0"/>
      <w:contextualSpacing w:val="0"/>
      <w:rPr/>
    </w:pPr>
    <w:r w:rsidDel="00000000" w:rsidR="00000000" w:rsidRPr="00000000">
      <w:rPr>
        <w:rFonts w:ascii="Georgia" w:cs="Georgia" w:eastAsia="Georgia" w:hAnsi="Georgia"/>
        <w:color w:val="002060"/>
        <w:sz w:val="16"/>
        <w:szCs w:val="16"/>
        <w:rtl w:val="0"/>
      </w:rPr>
      <w:t xml:space="preserve">                   Economic Development and              </w:t>
      <w:tab/>
      <w:t xml:space="preserve">      Emerging Technologies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